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43"/>
        <w:gridCol w:w="2723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287"/>
        <w:gridCol w:w="430"/>
        <w:gridCol w:w="143"/>
        <w:gridCol w:w="287"/>
        <w:gridCol w:w="716"/>
        <w:gridCol w:w="430"/>
        <w:gridCol w:w="286"/>
        <w:gridCol w:w="430"/>
        <w:gridCol w:w="1132"/>
        <w:gridCol w:w="15"/>
      </w:tblGrid>
      <w:tr>
        <w:trPr>
          <w:trHeight w:hRule="exact" w:val="1003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9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Цифровая образовательная среда (Московская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(Московская область)</w:t>
            </w:r>
          </w:p>
        </w:tc>
        <w:tc>
          <w:tcPr>
            <w:tcW w:w="3009" w:type="dxa"/>
            <w:gridSpan w:val="1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7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01.11.2018 - 30.12.2024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Забралова Ольга Сергеевна, Первый заместитель Председателя Правительства Московской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Ирина Александровна, Министр образования Московской области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Оксана Валерьевна, Начальник управления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Даниил Владимирович, Заместитель начальника управления - заведующий отделом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Московской области "Цифровое Подмосковье", Государственная программа Московской области "Образование Подмосковья"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144"/>
        </w:trPr>
        <w:tc>
          <w:tcPr>
            <w:tcW w:w="287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59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472" w:type="dxa"/>
            <w:gridSpan w:val="33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6"/>
        </w:trPr>
        <w:tc>
          <w:tcPr>
            <w:tcW w:w="10889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3869" w:type="dxa"/>
            <w:gridSpan w:val="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4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 (Московская область)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01.06.2018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</w:tr>
      <w:tr>
        <w:trPr>
          <w:trHeight w:hRule="exact" w:val="1949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</w:tr>
      <w:tr>
        <w:trPr>
          <w:trHeight w:hRule="exact" w:val="167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01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01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8"/>
                <w:szCs w:val="18"/>
                <w:rFonts w:ascii="Times New Roman" w:hAnsi="Times New Roman" w:eastAsia="Times New Roman" w:cs="Times New Roman"/>
                <w:spacing w:val="-2"/>
              </w:rPr>
              <w:t xml:space="preserve"> Задача национального проекта (справочно из паспорта федерального проекта):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к концу 2024 года целевой модели ЦОС во всех субъектах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функционированием федеральной информационно-сервисной платформы цифровой образовательной среды.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Поддержка из федерального бюджета предоставляется субъектам Российской Федерации на модернизацию к концу 2024 года материально-технической базы в не менее чем 31,5 тыс. общеобразовательных и профессиональных образовательных организаций в целях обеспечения условий для внедрения и развития цифровой образовательной среды в указанных организациях.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динамики субъектов Российской Федерации, внедривших целевую модель цифровой образовательной среды,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подлежит ежегодному уточнению по итогам проведения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отборов на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4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- приобретение товаров, работ, услуг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к концу 2024 года с учетомфункционирования федерального Центрацифровой трансформации образованияцелевой модели ЦОС в Московскойобласти позволит обеспечить процесссоздания условий для развития цифровизацииобразовательного процесса в соответствиис основными задачами, условиями иособенностями функционирования цифровойобразовательной среды для разных уровнейобразования, обеспечиваемой в том числе функционированием федеральнойинформационно-сервисной платформыцифровой образовательной среды</w:t>
            </w:r>
          </w:p>
          <w:p/>
        </w:tc>
      </w:tr>
      <w:tr>
        <w:trPr>
          <w:trHeight w:hRule="exact" w:val="174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31.12.2019 - 63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31.12.2020 - 164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31.12.2021 - 464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31.12.2022 - 700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31.12.2023 - 700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31.12.2024 - 700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60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 </w:t>
            </w:r>
            <w:r>
              <w:rPr>
                <w:sz w:val="16"/>
                <w:szCs w:val="16"/>
                <w:rFonts w:ascii="&amp;quot" w:hAnsi="&amp;quot" w:eastAsia="&amp;quot" w:cs="&amp;quot"/>
                <w:spacing w:val="-2"/>
              </w:rPr>
              <w:t xml:space="preserve">от 7 мая 2018 г. № 204.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31.12.2022</w:t>
            </w:r>
          </w:p>
          <w:p/>
        </w:tc>
      </w:tr>
      <w:tr>
        <w:trPr>
          <w:trHeight w:hRule="exact" w:val="159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 - обеспечение реализации федерального проекта (результата федерального проекта)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к концу 2022 года 100% образовательных организаций Московскойобласти, реализующих основные и (или)дополнительные общеобразовательныепрограммы, информационных представительствв сети Интернет и общедоступныхинформационных ресурсов – официальныхсайтов в сети Интернет позволит: - обеспечить представление информацииоб образовательных организацияхМосковской области, необходимой длявсех участников образовательногопроцесса;- создать систему получения репрезентативныхданных, обратной связи от родителей(законных представителей) обучающихся,актуальных для прогнозирования развитиясистемы образования, включая кадровое,инфраструктурное, содержательное,нормативное обеспечение и критерииоценки качества образования в соответствиис основными задачами государственнойполитики Российской Федерации, в томчисле определенными Указом ПрезидентаРоссийской Федерации от 7 мая 2018 г. №204</w:t>
            </w:r>
          </w:p>
          <w:p/>
        </w:tc>
      </w:tr>
      <w:tr>
        <w:trPr>
          <w:trHeight w:hRule="exact" w:val="151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vMerge w:val="restart"/>
            <w:tcMar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31.12.2019 - 20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31.12.2020 - 40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31.12.2021 - 60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31.12.2022 - 100 ПРОЦ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Созданы центры цифрового образования детей "IT-куб"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Создание к концу 2024 года за счет федеральной поддержки не менее 340 центров цифрового образования "IT-куб",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 также за счет региональных средств.</w:t>
            </w:r>
            <w:r>
              <w:rPr>
                <w:sz w:val="6"/>
                <w:szCs w:val="6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центров цифрового образования "IT-куб"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подлежит ежегодному уточнению по итогам проведения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отборов на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детей, охваченных деятельностью центров цифрового образования "IT-куб"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2019 г. - 8 тыс. человек;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 г. - 28 тыс. человек;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г. - 50 тыс. человек;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г. - 76 тыс. человек;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г. - 104 тыс. человек;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г. - 136 тыс. человек.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17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10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 - Создание (реорганизация) организации (структурного подразделения)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Созданиецентров цифрового образования «IT-куб»позволит обеспечить наинфраструктурно-содержательном уровнепродвижение компетенций в областицифровизации (современные информационныетехнологии, искусственный интеллект,большие данные, облачные пространства,программирование и администрированиецифровых операций) среди подрастающегопоколения, а также стать эффективныммеханизмом ранней профориентации приосуществлении обучающимися выборабудущей профессии и построении траекториисобственного развития</w:t>
            </w:r>
          </w:p>
          <w:p/>
        </w:tc>
      </w:tr>
      <w:tr>
        <w:trPr>
          <w:trHeight w:hRule="exact" w:val="1977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31.12.2020 - 2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31.12.2021 - 3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31.12.2023 - 4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Внедрение к концу 2024 года в основные образовательные программы современных цифровых технологий, для не менее чем 500 тыс. детей, обучающихся в 25% общеобразовательных организаций 75 субъектов Российской Федерации, позволит: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8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63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 - Обеспечение реализации федерального проекта (результата федерального проекта)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до конца 2020 года эксперимента повнедрению в образовательную программу современных цифровых технологий сучастием не менее 5 тыс. детей, обучающихся в 5% общеобразовательныхорганизаций Московской области, позволит:- усовершенствовать образовательный процесс поотдельным предметным областям путем внедрения современных цифровых технологий;- предоставить возможность обучающимся использоватьтехнологии виртуальной и дополненной реальности, цифровых двойников и другиетехнологии в освоении отдельных предметных областей;- создать условия для подготовки высококвалифицированных кадров,обладающих актуальными компетенциями в сфере современных технологий</w:t>
            </w:r>
          </w:p>
          <w:p/>
        </w:tc>
      </w:tr>
      <w:tr>
        <w:trPr>
          <w:trHeight w:hRule="exact" w:val="2236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31.12.2021 - 2.5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31.12.2022 - 5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31.12.2023 - 10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31.12.2024 - 15 ТЫС ЧЕЛ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Собственные результаты</w:t>
            </w:r>
          </w:p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021" w:type="dxa"/>
            <w:gridSpan w:val="1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Московской области реализованы дополнительные мероприятия по внедрению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внедрения цифровой образовательной среды будет закуплены современные аппаратно-программные комплексы со средствами криптографической защиты информации, планшетные компьютеры и мультимедийные проекторы с экранами для мультимедийных проекторов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5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2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Московской области реализованы дополнительные мероприятия по внедрению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748,22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1 365,38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1 461,64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3 239,95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10 346,45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(Московская область)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740,86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1 358,02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1 454,27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3 232,59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10 316,99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669,27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1 358,02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1 454,27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3 232,59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10 245,39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218,04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218,04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71,59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29,46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- приобретение товаров, работ, услуг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147,30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(Московская область)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101,87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101,87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147,30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135,82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135,82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135,82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135,82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11,48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11,48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Созданы центры цифрового образования детей "IT-куб"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цифрового образования детей "IT-куб" - Создание (реорганизация) организации (структурного подразделения)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15,08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(Московская область)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9,33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9,33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12,59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12,44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12,44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12,43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12,43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0,16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2,49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2,49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910,60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1 365,38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1 461,64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3 239,95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10 508,83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(Московская область)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111,19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111,19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900,75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1 358,02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1 454,27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3 232,59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10 476,88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817,52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1 358,02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1 454,27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3 232,59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1 726,03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1 805,22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10 393,65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366,30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366,30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83,23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83,23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9,85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7,37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31,95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59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И. 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Московской области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Забралова О. С.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Московской области реализованы дополнительные мероприятия по внедрению цифровой образовательной среды в общеобразовательных организациях и профессиональных образовательных организациях 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Московской области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И. А.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Карловский А.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Солодкая И. 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аналитик отдела ИТ-проектов и развития электронных услуг в сфере образования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- приобретение товаров, работ, услуг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Канарейкина В. Ю.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Солодкая И. 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аналитик отдела ИТ-проектов и развития электронных услуг в сфере образования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Карловский А.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Лазарев А. Е.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 отдела ИТ-проектов и развития электронных услуг в сфере образования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Душкин А.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аналитик отдела ИТ-проектов и  развития электронных услуг в сфере образования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 - обеспечение реализации федерального проекта (результата федерального проекта)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Гребцова А.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государственного контроля (надзора) в сфере образования Министерства образования Московской области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Московской области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И. А.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центры цифрового образования детей "IT-куб" - Создание (реорганизация) организации (структурного подразделения)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И. А.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Каштанова О. А.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модернизации образования Управления образованием Администрации г.о. Элетросталь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Митькина Е. И.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Бронштейн И. М.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образования Московской области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Каклюгина И. А.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 - Обеспечение реализации федерального проекта (результата федерального проекта)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Лазарев А. Е.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 отдела ИТ-проектов и развития электронных услуг в сфере образования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Канарейкина В. Ю.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Иванова О.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управления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Солодкая И. 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аналитик отдела ИТ-проектов и развития электронных услуг в сфере образования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Душкин А. 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аналитик отдела ИТ-проектов и  развития электронных услуг в сфере образования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Солнцева Л. 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Карловский А. В.</w:t>
            </w:r>
          </w:p>
        </w:tc>
        <w:tc>
          <w:tcPr>
            <w:tcW w:w="229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3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14"/>
        </w:trPr>
        <w:tc>
          <w:tcPr>
            <w:tcW w:w="15603" w:type="dxa"/>
            <w:gridSpan w:val="38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2293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Федеральная информационно-сервисная платформа цифровой образовательной среды - информационный сервис, обеспечивающий эффективное взаимодействие участников цифровой образовательной среды, в том числе консультационную и методическую поддержку по вопросам внедрения целевой модели цифровой образовательной среды. Технологии онлайн-обучения - технологии, обеспечивающие дистанционное освоение образовательных программ (и) или получение знаний и навыков в режиме реального времени при помощи устройств, позволяющих передавать и принимать видео-изображения и звук, посредством интернет-соединения. Детский центр цифрового образования " IT-куб" - это образовательная организация или структурное подразделение уже функционирующей образовательной организации, осуществляющая обучение по дополнительным общеобразовательным программам в сфере информационных технологий, в первую очередь, в сфере программирования. Целью детских центров цифрового творчества является массовое обучение детей базовым навыкам программирования за короткое время.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Цифровая образовательная среда - подсистема социокультурной среды, совокупность специально организованных педагогических условий развития личности, при которой инфраструктурный, содержательно-методический и коммуникационно-организационный компоненты функционируют на основе цифровых технологий.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 цифровой трансформации образования - структурное подразделение организации, наделенной Министерством просвещения Российской Федерации функциями проектного офиса национального проекта "Образование", осуществляющее организационно-управленческую, аналитическую, методическую и экспертную деятельность, направленную на обеспечение высокого качества и доступности образования всех видов и уровней, а также обучение управленческих команд субъектов Российской Федерации с целью создания современно и безопасной цифровой образовательной среды. 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 носит межведомственный характер, ведет к достижению целевых показателей Федерального проекта «Цифровая образовательная среда» и национального проекта «Образование», а также национального проекта «Цифровая экономика».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Целевая модель цифровой образовательной среды - модель комплексного функционирования ключевых компонентов современной и безопасной цифровой образовательной среды с целью обеспечения высокого качества и доступности образования всех видов и уровней, включающая: - модель профиля "цифровых компетенций" для обучающихся, педагогов и административно-управленческого персонала, включая требования к педагогам и обучающимся; - модель построения индивидуального учебного плана; - модель автоматизации административных, управленческих и вспомогательных процессов образовательной организации; - модель внутренней системы оценки качества образования через цифровую образовательную среду.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Условные обозначения уровней контроля: К – координатор. РП – руководитель проекта. ПК – Комиссии по проектному управлению при Губернаторе Московской области.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ходе реализации проекта «Цифровая образовательная среда» в Московской области планируется 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 В целях реализации мероприятий по внедрению целевой модели цифровой образовательной среды будет осуществлено дополнительное оснащение современной компьютерной техникой отобранных общеобразовательных организаций Московской области, в том числе средствами вычислительной техники, программного обеспечения и презентационного оборудования. Будет обеспечено повышение квалификации педагогических работников и руководителей образовательных организаций в области современных технологий онлайн-обучения с целью формирования необходимых ИКТ-компетентностей. В целях повышения уровня качества образования в Московской области все образовательные организации будут обеспечены стабильным и высокоскоростным интернет-соединением. Образовательные организации всех типов обновят информационное наполнение и 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03" w:type="dxa"/>
            <w:gridSpan w:val="38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1247"/>
        </w:trPr>
        <w:tc>
          <w:tcPr>
            <w:tcW w:w="15603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функциональные возможности официальных сайтов. К 2024 году в Московской области будет создано 11 Центров цифрового образования «IT-куб» с общим охватом 4400 детей. бучение в центрах цифрового образования «IT-куб» предоставит детям 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техники, даст возможность развивать сформированные компетенции в технических вузах и реализовывать их на предприятиях Московской области. 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574"/>
        </w:trPr>
        <w:tc>
          <w:tcPr>
            <w:tcW w:w="11462" w:type="dxa"/>
            <w:gridSpan w:val="29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9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(Московская область)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60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Московской области реализованы дополнительные мероприятия по внедрению цифровой образовательной среды в общеобразовательных организациях и профессиональных образовательных организациях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Дрыганова Е. В., Заместитель министра образования Московской области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внедрения цифровой образовательной среды будет закуплены современные аппаратно-программные комплексы со средствами криптографической защиты информации,  планшетные компьютеры и мультимедийные проекторы с экранами для мультимедийных проекторов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161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60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 выполнении соглашения о предоставлении субсидии юридическому (физическому) лицу 	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юридическому (физическому) лицу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 юридическому (физическому) лицу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оборудования в рамках поставки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оплаты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Оплата поставленного оборудования по муниципальным контрактам на приобретение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субъектам Российской Федерации (муниципальным образованиям)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о внесении изменении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образований на внедрение целевой модели цифровой образовательной среды 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общеобразовательных организациях и профессиональных образовательных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бюджету муниципального образований на внедрение целевой модели цифровой образовательной среды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Реализованы мероприятия  в области информатики и использования информационных систем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Реализованы мероприятия в области информатики и использования информационных систем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Создание, развитие и эксплуатация (сопровождение и техническая поддержка) ведомственных информационных систем сферы образования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 - аналитический отчет. Обеспечено создание, внедрение, техническое сопровождение развитие информационных систем в сфере образования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5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доступа педагогов и учащихся к современным электронным образовательным ресурсам, электронным учебникам и сервисам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отчет. Обеспечен доступ педагогов и учащихся к современным электронным образовательным ресурсам, электронным учебникам и сервисам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методического и аналитического сопровождения внедрения новых информационных технологий в общеобразовательных организациях Московской области, в том числе анализ эффективности их применения, подготовка и повышение квалификации учителей в сфере информационных технологий, обучение использованию поставленного оборудования, программного обеспечения и ЭОР в учебном процессе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Обеспечено методическое и аналитическое сопровождение внедрения новых информационных технологий в общеобразовательных организациях Московской области, в том числе анализ эффективности их применения, подготовка и повышение квалификации учителей в сфере информационных технологий, обучение использованию поставленного оборудования, программного обеспечения и ЭОР в учебном процессе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Субсидия Государственному бюджетному образовательному учреждению высшего образования Московской области «Академия социального управления» на иные цели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Обеспечено развитие и техническое сопровождение информационных систем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Обеспечено оснащение всех муниципальных общеобразовательных организаций Московской области современными аппаратно-программными комплексами со средствами криптографической защиты информации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возможности мониторинга динамики проникновения, распространения и влияния информационных технологий, в том числе социальных сетей, на обучающихся образовательных организаций в Московской области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Обеспечена возможность мониторинга динамики проникновения, распространения и влияния информационных технологий, в том числе социальных сетей, на обучающихся образовательных организаций в Московской области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1.15.7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Обеспечено оснащение планшетными компьютерами общеобразовательных организаций в Московской области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1.15.8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Обеспечено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 - приобретение товаров, работ, услуг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Внедрение к концу 2024 года с учетом функционирования федерального Центра цифровой трансформации образования целевой модели ЦОС в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Московской области позволит обеспечить процесс создания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70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3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"Создание центров цифрового образования "IT-куб" федерального проекта "Цифровая образовательная среда" национального проекта "Образование" в 2019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оборудования в рамках поставки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образований на внедрение целевой модели цифровой образовательной среды 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общеобразовательных организациях и профессиональных образовательных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между Министерством образования Московской области и Администрациями 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2019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31.08.2019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31.10.2018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31.12.2018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изменения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2019 году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30.10.2018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субъектами Российской Федерации заключены соглашения о предоставлении бюджетам субъектов Российской Федерации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информационно-аналитического отчет о выполнении соглашения о предоставлении субсидии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Публикация закупки оборудования для внедрения целевой модели цифровой образовательной среды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2020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2020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2020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между Министерством образования Московской области и Администрациями 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2020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изменения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2020-2022 годах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Предоставление заявки в Министерство просвещения Российской Федерации на участие в отборе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бюджетам субъектов Российской Федерации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2021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 для внедрения целевой модели цифровой образовательной среды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2021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2021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между Министерством образования Московской области и Администрациями 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2021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изменение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2020-2022 годах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и профессиональных образовательных организациях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бюджетам субъектов Российской Федерации межбюджетных трансфертов*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2019 году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2022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поставленных товаров, выполненных работ, оказанных услуг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2022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2022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между Министерством образования Московской области и Администрациями 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2022 году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изменения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2020-2022 годах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и профессиональных образовательных организациях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бюджетам субъектов Российской Федерации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2023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2023 году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1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02.10.2023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2023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между Министерством образования Московской области и Администрациями муниципальных образований о предоставлении субсидии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2023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Приемка поставленных товаров, выполненных работ, оказанных услуг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2023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изменения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2.40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2023 году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2023 году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и профессиональных образовательных организациях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бюджетам субъектов Российской Федерации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2024 году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"Внедрение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2024 году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информационно-аналитического отчета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выполнении соглашения о предоставлении субсидии из федерального бюджета бюджету Московской области на реализацию мероприятия "Внедрения целевой модели цифровой образовательной среды в общеобразовательных организациях и профессиональных образовательных организациях" федерального проекта "Цифровая образовательная среда" национального проекта "Образование" в рамках государственной программы Российской Федерации "Развитие образования"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02.10.2024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материалов для обоснования проведения закупочных мероприятий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10.07.2024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материалов для обоснования проведения закупочных мероприятий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9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между Министерством образования Московской области и Администрациями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муниципальных образований о предоставлении субсидии бюджету муниципального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2024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между Министерством образования Московской области и Администрациями муниципальных образований о предоставлении субсидии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муниципальных контрактов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2024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17.07.2024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муниципальных контрактов на приобретение оборудования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Приемка поставленных товаров, выполненных работ, оказанных услуг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поставленного оборудования по муниципальным контрактам на приобретение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2024 году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поставленного оборудования по муниципальным контрактам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муниципальным образованиям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распределение межбюджетных трансфертов по муниципальным образованиям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Внесены изменения в Государственную программу "Цифровое Подмосковье"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изменения в Государственную программу "Цифровое Подмосковье"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участие Московской области в отборе субъектов Российской Федерации на предоставление в 2024 году субсидии из федерального бюджета 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участие Московской области в отборе субъектов Российской Федерации на предоставление в 2024 году субсидии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заявка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 и профессиональных образовательных организациях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 - обеспечение реализации федерального проекта (результата федерального проекта)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к концу 2022 года 100% образовательных организаций Московской области, реализующих основные и (или) дополнительные общеобразовательные программы,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обеспечить представление информации об образовательных организациях Московской области, необходимой для всех участников образовательного процесса;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3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7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исполнения соглашения в том числе динамики достижения настоящего результата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исполнении соглашения в том числе динамики достижения настоящего результата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исполнения соглашения в том числе динамики достижения настоящего результата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исполнении соглашения в том числе динамики достижения настоящего результата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 сформирован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исполнения соглашения в том числе динамики достижения настоящего результата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исполнении соглашения в том числе динамики достижения настоящего результата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исполнения соглашения в том числе динамики достижения настоящего результата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исполнении соглашения в том числе динамики достижения настоящего результата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центры цифрового образования детей "IT-куб" - Создание (реорганизация) организации (структурного подразделения)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центров цифрового образования «IT-куб»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30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 соглашения о предоставлении бюджетам Московской области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Сформирован отчет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отчета об использовании межбюджетных трансфертов на  создание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 обеспечению организации деятельности организации (структурного подразделения) (структура управления и кадры)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медиа-плана центра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07.03.2019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Об утверждении медиа-плана центра цифрового образования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 согласовании калькуляционных расходов на функционирование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Принятие мер по трудоустройству  работников на вакантные места центра цифровой подготовки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15.06.2019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 принятии на работу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 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21.11.2019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Открытие в единый день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 обеспечении организации деятельности организации (структурного подразделения) (имущество, финансы)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Калькуляция операционных расходов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03.11.2019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Смета расходов мероприятий на создание и функционирования центра в 2919 году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-график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Включение расходов на мероприятия в План - график закупок учреждения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Основание для совершения покупки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муниципального контракта на приобретение оборудования в центр цифровой подготовки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поставку оборудования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выполненных работ(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поставленных товаров по муниципальному контракту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03.11.2019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Приёмка полученного оборудования на учет (оприходование оборудования)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Установка и наладка оборудования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08.07.2019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04.11.2019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Установка и наладка оборудования, ввод в эксплуатацию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Данные об использовании межбюджетных трансфертов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Участие Московской области в отборе субъектов Российской Федерации  на предоставление в 2020-2022 годах субсидии из федерального бюджета бюджетам  субъектов Российской Федерации на создание центров цифрового образования детей 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организации участия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создание центров цифрового образования детей в рамках федерального проекта «Цифровая образовательная среда» национального проекта «Образование»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Внесение изменений в бюджет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Утверждение бюджета Московской области с учётом финансирования мероприятий по созданию центра цифрового образования в 2020 году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Определение состава и количества штатных работников центра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Принятие мер по трудоустройству работников на вакантные места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22.06.2020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31.08.2020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Каштанова О. А., Начальник отдела модернизации образования Управления образованием Администрации г.о. Элетросталь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Принятие на работу педагогических и других работников в центр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квалификации работников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10.08.2020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15.09.2020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Каштанова О. А., Начальник отдела модернизации образования Управления образованием Администрации г.о. Элетросталь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Прохождение курсов повышения квалификации в области IT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4.11.5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20.11.2020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Открытие в единый день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-график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Внесение изменений  в план закупок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09.02.2020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План-график закупок с включением мероприятий по оснащению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Заключение контракта по результатам проведенного аукциона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10.05.2020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24.06.2020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приобретение оборудования (услуг)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выполненных работ(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Приёмка, оплата товаров и услуг.Установка и настройки  оборудования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Каштанова О. А., Начальник отдела модернизации образования Управления образованием Администрации г.о. Элетросталь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Платёжные поручения на оплату оборудования, работ. Акт сдачи-приёмки товаров, выполнения работ (услуг).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Участие Московской области в отборе субъектов Российской Федерации  на предоставление в 2020-2022 годах субсидии из федерального бюджета бюджетам  субъектов Российской Федерации на создание центров цифрового образования детей 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28.04.2020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организации участия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создание центров цифрового образования детей в рамках федерального проекта «Цифровая образовательная среда» национального проекта «Образование»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организаций, на базе которых создаются детские «IT куб»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Определение состава работников центра (должности и численность работников) на 2020 год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Принятие мер по трудоустройству работников на вакантные места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15.07.2020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15.10.2020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Принятие на работу педагогических и других работников в центр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квалификации работников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30.07.2020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Получение свидетельств о прохождении повышения квалификации педагогическими и административными работниками в области IT -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4.18.4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"IT-куб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22.11.2021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Функционирование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-график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Внесение изменений  в план закупок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План-график закупок с включением мероприятий по оснащению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муниципального контракта на приобретение оборудования в центр цифровой подготовки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20.06.2021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30.07.2021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приобретение оборудования (услуг)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Московской областью на отчётные даты установленные Соглашением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по итогам мониторинга реализации субсидий из федерального бюджета на поддержку мероприятий по созданию в Московской области центров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выполненных работ(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Приёмка оборудования и работ по установке и наладке оборудования.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24.11.2021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Акты приёмки -передачи, акты выполненных работ по установке и наладке оборудования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4.22.2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полученного оборудования и выполненных работ по установке и наладки оборудования. оприходование оборудования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28.11.2021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Платёжные поручения оплаты оборудования и работ. Инвентаризация.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Участия Московской области в отборе субъектов Российской Федерации  на предоставление в 2020-2022 годах субсидии из федерального бюджета бюджетам  субъектов Российской Федерации на создание центров цифрового образования детей 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25.11.2019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организации участия Московской области в отборе субъектов Российской Федерации на предоставление в 2020-2022 годах субсидии из федерального бюджета бюджетам субъектов Российской Федерации на создание центров цифрового образования детей в рамках федерального проекта «Цифровая образовательная среда» национального проекта «Образование»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30.11.2022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организаций, на базе которых создаются детские «IT куб»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09.01.2022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Определение состава работников центра (должности и численность работников) на 2022 год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Принятие мер по трудоустройству  работников на вакантные места центра цифровой подготовки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15.05.2022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25.10.2022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Принятие на работу педагогических и других работников в центр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квалификации работников центра в области IT -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12.06.2022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Получение свидетельств о прохождении повышения квалификации педагогическими и административными работниками в области IT -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4.26.4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"IT-куб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22.11.2022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 функционировании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Калькуляция операционных расходов по созданию и функционированию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16.12.2021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18.01.2022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 согласовании калькуляционных расходов на функционирование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4.27.2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медиа-плана центра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 утверждении медиа-плана центра цифрового образования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-график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Внесение изменений  в план закупок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09.01.2022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План-график закупок с включением мероприятий по оснащению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муниципального контракта на приобретение оборудования в центр цифровой подготовки по результатам проведенного аукциона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20.06.2022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19.07.2022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поставку оборудования (укслуг)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отчета об использовании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 отчётные даты установленные Соглашением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приемка выполненных работ(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Получение и оплата  оборудования,  выполнение и оплата  услуг. Установка и наладка  оборудования.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Платёжные поручения об оплате оборудования и выполнения услуг. Акты приёмки-передачи товаров. работ.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на создание центра цифрового образования "IT-куб"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Участие Московской области в отборе субъектов Российской Федерации  на предоставление в 2023-2024 годах субсидии из федерального бюджета бюджетам  субъектов Российской Федерации на создание центров цифрового образования детей 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07.06.2022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18.07.2022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Об организации участия Московской области в отборе субъектов Российской Федерации на предоставление в 2023-2024 годах субсидии из федерального бюджета бюджетам субъектов Российской Федерации на создание центров цифрового образования детей в рамках федерального проекта «Цифровая образовательная среда» национального проекта «Образование»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16.04.2023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17.05.2023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Определение состава работников центра (должности и численность работников)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"IT-куб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22.11.2023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Функционирование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4.35.3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Принятие мер по трудоустройству работников на вакантные места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13.06.2023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Принятие на работу педагогических и других работников в центр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Калькуляция операционных расходов по созданию и функционированию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18.12.2022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 согласовании калькуляционных расходов на функционирование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30.04.2023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бюджета Московской области с учётом финансирования мероприятий по созданию центра цифрового образования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30.04.2023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Муниципальное задание организации с включением мероприятия по созданию и функционированию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контракта по результатам проведенной закупки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муниципального контракта на приобретение оборудования в центр цифрового образования  по результатам проведенного аукциона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24.07.2023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30.07.2023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 на поставку оборудования (услуг)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0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с Правительством Московской области о предоставлении субсидии из федерального бюджета бюджетам субъектов Российской Федерации субсидии на реализацию мероприятия по созданию центров цифрового образования  федерального проекта "Цифровая образовательная среда" национального проекта "Образование" в 2023 году, с порядком и условиями выполнения мероприятий.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30.04.2023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Определены обязательства Российской Федерации и Московской области о предоставлении межбюджетных трансфертов на создание центров цифрового образования "IT-куб"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оплата выполненных работ 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Произведена приёмка оборудования, наладка и установка оборудования. Оплата.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Платёжные поручения об оплате товаров. услуг. Акты приёмки -передачи товара. принятых работ. Платёжное поручение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соглашения о предоставлении бюджету Московской области межбюджетных трансфертов на создание центра цифрового образования "IT-куб"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Определение условий выполнения мероприятий и расходования денежных средств, и предоставление бюджету Московской области субсидий из федерального бюджета Московской области на финансовое обеспечение мероприятий по созданию центра цифрового образования "IT-куб" с сроками выполнения установленных мероприятий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отчета об использовании межбюджетных трансфертов на создание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Информация об исполнении бюджетных обязательств на отчётные даты по форме согласно Соглашению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4.43.1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Участие Московской области в отборе субъектов Российской Федерации  на предоставление в 2023-2024 годах субсидии из федерального бюджета бюджетам  субъектов Российской Федерации на создание центров цифрового образования детей  "IT-куб"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05.05.2022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Организация участия Московской области в отборе субъектов Российской Федерации на предоставление в 2023-2024 годах субсидии из федерального бюджета бюджетам субъектов Российской Федерации на создание центров цифрового образования детей "IT-куб"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30.11.2024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Локальные акты организаций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медиа-плана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09.03.2024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Определение схемы расположения зон центра, формирование медиа-плана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4.44.2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штатного расписания  центра цифрового образования "IT-куб"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Определение состава работников центра (должности и численность работников) на 2024 год. Штатное расписание 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4.44.3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Открытие центра цифрового образования "IT-куб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02.09.2024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22.11.2024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Функционирование центра цифрового образования "IT-куб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Калькуляция операционных расходов по созданию и функционированию центра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16.12.2023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16.01.2024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 согласовании калькуляционных расходов на функционирование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-график закупок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Внесение изменений  в план закупок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16.04.2024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лан-график закупок с включением мероприятий по оснащению центра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Московской области,  в том числе организации где создается центр на создание и функционирование центра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07.01.2024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Утверждение бюджета Московской области с учётом финансирования мероприятий по созданию центра цифрового образования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Перескокова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оплата выполненных работ ( услуг)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Оплата поставленного оборудования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31.10.2024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Крамаренко Е. В., Начальник управления дополнительного образования и воспитания детей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Платежные поручения по оплате товаров (услуг)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 - Обеспечение реализации федерального проекта (результата федерального проекта)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6"/>
                <w:szCs w:val="6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Проведение до конца 2020 года эксперимента по внедрению в образовательную программу современных цифровых технологий с участием не менее 5 тыс. детей, обучающихся в 5% общеобразовательных организаций Московской области, позволит: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16"/>
                <w:szCs w:val="16"/>
                <w:rFonts w:ascii="Times New Roman" w:hAnsi="Times New Roman" w:eastAsia="Times New Roman" w:cs="Times New Roman"/>
                <w:spacing w:val="-2"/>
              </w:rPr>
              <w:t xml:space="preserve"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  <w:p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подготовка для утверждения паспорта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на основе технического задания к разработке форм, средств, методов обучения с использованием цифровых технологий: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экспериментальных форм, методов и средств обучения на основе современных цифровых технологий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методических и дидактических материалов (моделей) по использованию в образовательном процессе экспериментальных форм, методов и средств обучения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Методические и дидактические материалы по внедрению и использованию цифровых технологий. Разработаны экспериментальные формы, методы и средства обучения, а также методические и дидактические материалы по их использованию для дальнейшего внедрения в образовательном процессе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Министерством образования Московской области, реализующих эксперимент по внедрению в образовательную программу современных цифровых технологий, перечня пилотных образовательных организаций (не менее 5 % от общего числа образовательных организаций)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об определении перечня образовательных организаций. Сформирован перечень пилотных образовательных организаций (5% от общего числа образовательных организаций) в целях проведения эксперимента по внедрению в образовательную программу современных цифровых технологий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 сформирован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Киселёва Н. А., Заместитель министра образования Московской области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2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подготовка для утверждения паспорта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на основе технического задания к разработке форм, средств, методов обучения с использованием цифровых технологий: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экспериментальных форм, методов и средств обучения на основе современных цифровых технологий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методических и дидактических материалов (моделей) по использованию в образовательном процессе экспериментальных форм, методов и средств обучения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Методические и дидактические материалы по внедрению и использованию цифровых технологий. Разработаны экспериментальные формы, методы и средства обучения, а также методические и дидактические материалы по их использованию для дальнейшего внедрения в образовательном процессе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9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Министерством образования Московской области, реализующих мероприятия по внедрению в образовательную программу современных цифровых технологий, перечня пилотных образовательных организаций (не менее 10 % от общего числа образовательных организаций)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органов исполнительной власти субъектов Российской Федерации об определении перечня образовательных организаций. Сформирован перечень пилотных образовательных организаций (10% от общего числа образовательных организаций) в целях проведения эксперимента по внедрению в образовательную программу современных цифровых технологий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подготовка для утверждения паспорта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на основе технического задания к разработке форм, средств, методов обучения с использованием цифровых технологий: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экспериментальных форм, методов и средств обучения на основе современных цифровых технологий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методических и дидактических материалов (моделей) по использованию в образовательном процессе экспериментальных форм, методов и средств обучения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Методические и дидактические материалы по внедрению и использованию цифровых технологий. Разработаны экспериментальные формы, методы и средства обучения, а также методические и дидактические материалы по их использованию для дальнейшего внедрения в образовательном процессе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Министерством образования Московской области, реализующих мероприятия по внедрению в образовательную программу современных цифровых технологий, перечня пилотных образовательных организаций (не менее 15% от общего числа образовательных организаций)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Министерством образования Московской области, об определении перечня образовательных организаций. Сформирован перечень пилотных образовательных организаций (15% от общего числа образовательных организаций) в целях проведения эксперимента по внедрению в образовательную программу современных цифровых технологий 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Обеспечена подготовка для утверждения паспорта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на основе технического задания к разработке форм, средств, методов обучения с использованием цифровых технологий: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экспериментальных форм, методов и средств обучения на основе современных цифровых технологий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методических и дидактических материалов (моделей) по использованию в образовательном процессе экспериментальных форм, методов и средств обучения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Методические и дидактические материалы по внедрению и использованию цифровых технологий. Разработаны экспериментальные формы, методы и средства обучения, а также методические и дидактические материалы по их использованию для дальнейшего внедрения в образовательном процессе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Министерством образования Московской области, реализующих мероприятия по внедрению в образовательную программу современных цифровых технологий, перечня пилотных образовательных организаций (не менее 20 % от общего числа образовательных организаций)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Министерством образования Московской области об определении перечня образовательных организаций. Сформирован перечень пилотных образовательных организаций (20% от общего числа образовательных организаций) в целях проведения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подготовка для утверждения паспорта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на основе технического задания к разработке форм, средств, методов обучения с использованием цифровых технологий: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экспериментальных форм, методов и средств обучения на основе современных цифровых технологий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методических и дидактических материалов (моделей) по использованию в образовательном процессе экспериментальных форм, методов и средств обучения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31.05.2024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Методические и дидактические материалы по внедрению и использованию цифровых технологий. Разработаны экспериментальные формы, методы и средства обучения, а также методические и дидактические материалы по их использованию для дальнейшего внедрения в образовательном процессе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9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5.19.1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Министерства образования Московской области, реализующих мероприятия по внедрению в образовательную программу современных цифровых технологий, перечня пилотных образовательных организаций (не менее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25% от общего числа образовательных организаций)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органов исполнительной власти субъектов Российской Федерации об определении перечня образовательных организаций. Сформирован перечень пилотных образовательных организаций (25% от общего числа образовательных организаций) в целях проведения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5.20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</w:t>
            </w:r>
          </w:p>
          <w:p/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мониторинг реализации о реализации федерального проекта сформирован </w:t>
            </w:r>
          </w:p>
          <w:p/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Митрофанов Д. В., Заместитель начальника управления - заведующий отделом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эксперимента по внедрению в образовательную программу современных цифровых технологий</w:t>
            </w:r>
          </w:p>
          <w:p/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9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9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образовательная среда (Московская область)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3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ЕД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Xi -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мониторинга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июля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Xi 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>
        <w:trPr>
          <w:trHeight w:hRule="exact" w:val="232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960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ПРОЦ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мониторинга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июля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Yвсего - Общее число обучающихся по программам общего образования, дополнительного образования для детей и среднего профессионального образования,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ФЕДЕРАЛЬНАЯ СЛУЖБА ГОСУДАРСТВЕННОЙ СТАТИСТИКИ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15 марта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960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ЕД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мониторинга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июля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>
        <w:trPr>
          <w:trHeight w:hRule="exact" w:val="247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ФЕДЕРАЛЬНАЯ СЛУЖБА ГОСУДАРСТВЕННОЙ СТАТИСТИКИ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15 марта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>
        <w:trPr>
          <w:trHeight w:hRule="exact" w:val="247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960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ФЕДЕРАЛЬНАЯ СЛУЖБА ГОСУДАРСТВЕННОЙ СТАТИСТИКИ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15 марта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обучающихся по программам общего образования и среднего профессионального образования</w:t>
            </w:r>
          </w:p>
        </w:tc>
      </w:tr>
      <w:tr>
        <w:trPr>
          <w:trHeight w:hRule="exact" w:val="156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Yгориз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мониторинга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июля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Yорг - общее число обучающихся по программам общего образования и среднего профессионального образования</w:t>
            </w:r>
          </w:p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960"/>
        </w:trPr>
        <w:tc>
          <w:tcPr>
            <w:tcW w:w="15618" w:type="dxa"/>
            <w:gridSpan w:val="3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6" name="Picture 5" descr="Image0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мониторинга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ОБРАЗОВАНИЯ И НАУКИ ПЕРМСКОГО КРАЯ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июля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YобщПед - общее число педагогических работников общего образования</w:t>
            </w:r>
          </w:p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29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YобщПед - общее число педагогических работников общего образования,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ФЕДЕРАЛЬНАЯ СЛУЖБА ГОСУДАРСТВЕННОЙ СТАТИСТИКИ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15 марта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YобщПед - общее число педагогических работников общего образования</w:t>
            </w:r>
          </w:p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Arial"/>
  <w:font w:name="&amp;quot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RP_Cifrovaya_obrazovatel'naya_sreda_(Moskovskaya_oblast')</dc:title>
  <dc:subject>RP_Cifrovaya_obrazovatel'naya_sreda_(Moskovskaya_oblast')</dc:subject>
  <dc:creator/>
  <cp:keywords/>
  <dc:description/>
  <cp:lastModifiedBy>Stimulsoft Reports 2019.3.4 from 5 August 2019</cp:lastModifiedBy>
  <cp:revision>1</cp:revision>
  <dcterms:created xsi:type="dcterms:W3CDTF">2019-12-03T10:04:39Z</dcterms:created>
  <dcterms:modified xsi:type="dcterms:W3CDTF">2019-12-03T10:04:39Z</dcterms:modified>
</cp:coreProperties>
</file>